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ind w:firstLine="0" w:firstLineChars="0"/>
        <w:jc w:val="left"/>
        <w:rPr>
          <w:rFonts w:hint="default" w:ascii="Times New Roman" w:hAnsi="Times New Roman" w:eastAsiaTheme="minorEastAsia" w:cstheme="minorBidi"/>
          <w:sz w:val="21"/>
          <w:szCs w:val="24"/>
          <w:highlight w:val="none"/>
          <w:lang w:val="en-US" w:eastAsia="zh-CN"/>
          <w14:ligatures w14:val="none"/>
        </w:rPr>
      </w:pPr>
      <w:r>
        <w:rPr>
          <w:rFonts w:hint="eastAsia" w:ascii="Times New Roman" w:hAnsi="Times New Roman" w:eastAsia="黑体" w:cs="黑体"/>
          <w:sz w:val="32"/>
          <w:szCs w:val="32"/>
          <w:highlight w:val="none"/>
          <w14:ligatures w14:val="none"/>
        </w:rPr>
        <w:t>附件</w:t>
      </w:r>
      <w:r>
        <w:rPr>
          <w:rFonts w:hint="eastAsia" w:ascii="Times New Roman" w:hAnsi="Times New Roman" w:eastAsia="黑体" w:cs="黑体"/>
          <w:sz w:val="32"/>
          <w:szCs w:val="32"/>
          <w:highlight w:val="none"/>
          <w:lang w:val="en-US" w:eastAsia="zh-CN"/>
          <w14:ligatures w14:val="none"/>
        </w:rPr>
        <w:t>2</w:t>
      </w:r>
    </w:p>
    <w:p>
      <w:pPr>
        <w:keepNext w:val="0"/>
        <w:keepLines w:val="0"/>
        <w:pageBreakBefore w:val="0"/>
        <w:widowControl/>
        <w:kinsoku/>
        <w:wordWrap/>
        <w:overflowPunct/>
        <w:topLinePunct w:val="0"/>
        <w:autoSpaceDE/>
        <w:autoSpaceDN/>
        <w:bidi w:val="0"/>
        <w:adjustRightInd/>
        <w:snapToGrid/>
        <w:spacing w:before="313" w:beforeLines="100" w:line="240" w:lineRule="auto"/>
        <w:ind w:firstLine="0" w:firstLineChars="0"/>
        <w:jc w:val="center"/>
        <w:textAlignment w:val="auto"/>
        <w:rPr>
          <w:rFonts w:ascii="Times New Roman" w:hAnsi="Times New Roman" w:eastAsia="方正小标宋简体" w:cs="Times New Roman"/>
          <w:sz w:val="44"/>
          <w:szCs w:val="32"/>
          <w:highlight w:val="none"/>
          <w14:ligatures w14:val="standardContextual"/>
        </w:rPr>
      </w:pPr>
      <w:r>
        <w:rPr>
          <w:rFonts w:hint="eastAsia" w:ascii="Times New Roman" w:hAnsi="Times New Roman" w:eastAsia="方正小标宋简体" w:cs="Times New Roman"/>
          <w:sz w:val="44"/>
          <w:szCs w:val="32"/>
          <w:highlight w:val="none"/>
          <w14:ligatures w14:val="standardContextual"/>
        </w:rPr>
        <w:t>行（教）指委特色活动清单</w:t>
      </w:r>
    </w:p>
    <w:p>
      <w:pPr>
        <w:spacing w:line="560" w:lineRule="exact"/>
        <w:ind w:firstLine="0" w:firstLineChars="0"/>
        <w:jc w:val="center"/>
        <w:rPr>
          <w:rFonts w:ascii="Times New Roman" w:hAnsi="Times New Roman" w:eastAsia="方正小标宋简体" w:cs="Times New Roman"/>
          <w:sz w:val="44"/>
          <w:szCs w:val="32"/>
          <w:highlight w:val="none"/>
          <w14:ligatures w14:val="standardContextual"/>
        </w:rPr>
      </w:pPr>
    </w:p>
    <w:tbl>
      <w:tblPr>
        <w:tblStyle w:val="11"/>
        <w:tblW w:w="4998" w:type="pct"/>
        <w:tblInd w:w="0" w:type="dxa"/>
        <w:tblLayout w:type="autofit"/>
        <w:tblCellMar>
          <w:top w:w="0" w:type="dxa"/>
          <w:left w:w="108" w:type="dxa"/>
          <w:bottom w:w="0" w:type="dxa"/>
          <w:right w:w="108" w:type="dxa"/>
        </w:tblCellMar>
      </w:tblPr>
      <w:tblGrid>
        <w:gridCol w:w="760"/>
        <w:gridCol w:w="2976"/>
        <w:gridCol w:w="5321"/>
      </w:tblGrid>
      <w:tr>
        <w:tblPrEx>
          <w:tblCellMar>
            <w:top w:w="0" w:type="dxa"/>
            <w:left w:w="108" w:type="dxa"/>
            <w:bottom w:w="0" w:type="dxa"/>
            <w:right w:w="108" w:type="dxa"/>
          </w:tblCellMar>
        </w:tblPrEx>
        <w:trPr>
          <w:cantSplit/>
          <w:trHeight w:val="450" w:hRule="atLeast"/>
          <w:tblHeader/>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黑体" w:cs="黑体"/>
                <w:color w:val="000000"/>
                <w:sz w:val="24"/>
                <w:szCs w:val="24"/>
                <w:highlight w:val="none"/>
                <w14:ligatures w14:val="none"/>
              </w:rPr>
            </w:pPr>
            <w:r>
              <w:rPr>
                <w:rFonts w:hint="eastAsia" w:ascii="Times New Roman" w:hAnsi="Times New Roman" w:eastAsia="黑体" w:cs="黑体"/>
                <w:color w:val="000000"/>
                <w:kern w:val="0"/>
                <w:sz w:val="24"/>
                <w:szCs w:val="24"/>
                <w:highlight w:val="none"/>
                <w:lang w:bidi="ar"/>
                <w14:ligatures w14:val="none"/>
              </w:rPr>
              <w:t>序号</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center"/>
              <w:textAlignment w:val="center"/>
              <w:rPr>
                <w:rFonts w:ascii="Times New Roman" w:hAnsi="Times New Roman" w:eastAsia="黑体" w:cs="黑体"/>
                <w:color w:val="000000"/>
                <w:sz w:val="24"/>
                <w:szCs w:val="24"/>
                <w:highlight w:val="none"/>
                <w14:ligatures w14:val="none"/>
              </w:rPr>
            </w:pPr>
            <w:r>
              <w:rPr>
                <w:rFonts w:hint="eastAsia" w:ascii="Times New Roman" w:hAnsi="Times New Roman" w:eastAsia="黑体" w:cs="黑体"/>
                <w:color w:val="000000"/>
                <w:sz w:val="24"/>
                <w:szCs w:val="24"/>
                <w:highlight w:val="none"/>
                <w14:ligatures w14:val="none"/>
              </w:rPr>
              <w:t>行（教）指委</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center"/>
              <w:textAlignment w:val="center"/>
              <w:rPr>
                <w:rFonts w:ascii="Times New Roman" w:hAnsi="Times New Roman" w:eastAsia="黑体" w:cs="黑体"/>
                <w:color w:val="000000"/>
                <w:sz w:val="24"/>
                <w:szCs w:val="24"/>
                <w:highlight w:val="none"/>
                <w14:ligatures w14:val="none"/>
              </w:rPr>
            </w:pPr>
            <w:r>
              <w:rPr>
                <w:rFonts w:hint="eastAsia" w:ascii="Times New Roman" w:hAnsi="Times New Roman" w:eastAsia="黑体" w:cs="黑体"/>
                <w:color w:val="000000"/>
                <w:kern w:val="0"/>
                <w:sz w:val="24"/>
                <w:szCs w:val="24"/>
                <w:highlight w:val="none"/>
                <w:lang w:bidi="ar"/>
                <w14:ligatures w14:val="none"/>
              </w:rPr>
              <w:t>活动名称</w:t>
            </w:r>
          </w:p>
        </w:tc>
      </w:tr>
      <w:tr>
        <w:tblPrEx>
          <w:tblCellMar>
            <w:top w:w="0" w:type="dxa"/>
            <w:left w:w="108" w:type="dxa"/>
            <w:bottom w:w="0" w:type="dxa"/>
            <w:right w:w="108" w:type="dxa"/>
          </w:tblCellMar>
        </w:tblPrEx>
        <w:trPr>
          <w:cantSplit/>
          <w:trHeight w:val="68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1</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全国安全职业教育教学指导委员会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sz w:val="24"/>
                <w:szCs w:val="24"/>
                <w:highlight w:val="none"/>
                <w14:ligatures w14:val="none"/>
              </w:rPr>
              <w:t>应急安全实训演练护航平安校园行动</w:t>
            </w:r>
            <w:r>
              <w:rPr>
                <w:rFonts w:hint="eastAsia" w:ascii="Times New Roman" w:hAnsi="Times New Roman" w:eastAsia="仿宋_GB2312" w:cs="仿宋_GB2312"/>
                <w:color w:val="000000"/>
                <w:sz w:val="24"/>
                <w:szCs w:val="24"/>
                <w:highlight w:val="none"/>
                <w:lang w:eastAsia="zh-CN"/>
                <w14:ligatures w14:val="none"/>
              </w:rPr>
              <w:t>；“政行校企”四位一体安全能力提升工程</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sz w:val="24"/>
                <w:szCs w:val="24"/>
                <w:highlight w:val="none"/>
                <w:lang w:val="en-US" w:eastAsia="zh-CN"/>
                <w14:ligatures w14:val="none"/>
              </w:rPr>
              <w:t>2</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sz w:val="24"/>
                <w:szCs w:val="24"/>
                <w:highlight w:val="none"/>
                <w14:ligatures w14:val="none"/>
              </w:rPr>
              <w:t>全国财政职业教育教学指导委员会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sz w:val="24"/>
                <w:szCs w:val="24"/>
                <w:highlight w:val="none"/>
                <w14:ligatures w14:val="none"/>
              </w:rPr>
              <w:t>“AI+财务”体验活动</w:t>
            </w:r>
          </w:p>
        </w:tc>
      </w:tr>
      <w:tr>
        <w:tblPrEx>
          <w:tblCellMar>
            <w:top w:w="0" w:type="dxa"/>
            <w:left w:w="108" w:type="dxa"/>
            <w:bottom w:w="0" w:type="dxa"/>
            <w:right w:w="108" w:type="dxa"/>
          </w:tblCellMar>
        </w:tblPrEx>
        <w:trPr>
          <w:cantSplit/>
          <w:trHeight w:val="58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3</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全国餐饮职业教育教学指导委员会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餐饮文化体验与实践周活动</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kern w:val="0"/>
                <w:sz w:val="24"/>
                <w:szCs w:val="24"/>
                <w:highlight w:val="none"/>
                <w:lang w:eastAsia="zh-CN" w:bidi="ar"/>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4</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kern w:val="0"/>
                <w:sz w:val="24"/>
                <w:szCs w:val="24"/>
                <w:highlight w:val="none"/>
                <w:lang w:bidi="ar"/>
                <w14:ligatures w14:val="none"/>
              </w:rPr>
            </w:pPr>
            <w:r>
              <w:rPr>
                <w:rFonts w:hint="eastAsia" w:ascii="Times New Roman" w:hAnsi="Times New Roman" w:eastAsia="仿宋_GB2312" w:cs="仿宋_GB2312"/>
                <w:color w:val="000000"/>
                <w:kern w:val="0"/>
                <w:sz w:val="24"/>
                <w:szCs w:val="24"/>
                <w:highlight w:val="none"/>
                <w:lang w:bidi="ar"/>
                <w14:ligatures w14:val="none"/>
              </w:rPr>
              <w:t>全国测绘地理信息职业教育教学指导委员会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sz w:val="24"/>
                <w:szCs w:val="24"/>
                <w:highlight w:val="none"/>
                <w14:ligatures w14:val="none"/>
              </w:rPr>
              <w:t>“智绘未来·匠心传承”测绘地理信息创新发展系列活动</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5</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全国船舶工业职业教育教学指导委员会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sz w:val="24"/>
                <w:szCs w:val="24"/>
                <w:highlight w:val="none"/>
                <w14:ligatures w14:val="none"/>
              </w:rPr>
              <w:t>2025年“船舶小匠杯”职业院校行业技能大赛智能焊接技术赛项</w:t>
            </w:r>
            <w:r>
              <w:rPr>
                <w:rFonts w:hint="eastAsia" w:ascii="Times New Roman" w:hAnsi="Times New Roman" w:eastAsia="仿宋_GB2312" w:cs="仿宋_GB2312"/>
                <w:color w:val="000000"/>
                <w:sz w:val="24"/>
                <w:szCs w:val="24"/>
                <w:highlight w:val="none"/>
                <w:lang w:eastAsia="zh-CN"/>
                <w14:ligatures w14:val="none"/>
              </w:rPr>
              <w:t>；船舶行业产教融合数字化创新论坛</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6</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全国电力职业教育教学指导委员会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sz w:val="24"/>
                <w:szCs w:val="24"/>
                <w:highlight w:val="none"/>
                <w14:ligatures w14:val="none"/>
              </w:rPr>
              <w:t>国际青年光伏技能挑战赛</w:t>
            </w:r>
          </w:p>
        </w:tc>
      </w:tr>
      <w:tr>
        <w:tblPrEx>
          <w:tblCellMar>
            <w:top w:w="0" w:type="dxa"/>
            <w:left w:w="108" w:type="dxa"/>
            <w:bottom w:w="0" w:type="dxa"/>
            <w:right w:w="108" w:type="dxa"/>
          </w:tblCellMar>
        </w:tblPrEx>
        <w:trPr>
          <w:cantSplit/>
          <w:trHeight w:val="76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7</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全国电子商务职业教育教学指导委员会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default" w:ascii="Times New Roman" w:hAnsi="Times New Roman" w:eastAsia="仿宋_GB2312" w:cs="仿宋_GB2312"/>
                <w:color w:val="000000"/>
                <w:sz w:val="24"/>
                <w:szCs w:val="24"/>
                <w:highlight w:val="none"/>
                <w:lang w:val="en-US"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电商职教片区会</w:t>
            </w:r>
            <w:r>
              <w:rPr>
                <w:rFonts w:hint="eastAsia" w:ascii="Times New Roman" w:hAnsi="Times New Roman" w:eastAsia="仿宋_GB2312" w:cs="仿宋_GB2312"/>
                <w:color w:val="000000"/>
                <w:kern w:val="0"/>
                <w:sz w:val="24"/>
                <w:szCs w:val="24"/>
                <w:highlight w:val="none"/>
                <w:lang w:eastAsia="zh-CN" w:bidi="ar"/>
                <w14:ligatures w14:val="none"/>
              </w:rPr>
              <w:t>；电商职教专标宣贯</w:t>
            </w:r>
            <w:r>
              <w:rPr>
                <w:rFonts w:hint="eastAsia" w:ascii="Times New Roman" w:hAnsi="Times New Roman" w:eastAsia="仿宋_GB2312" w:cs="仿宋_GB2312"/>
                <w:color w:val="000000"/>
                <w:kern w:val="0"/>
                <w:sz w:val="24"/>
                <w:szCs w:val="24"/>
                <w:highlight w:val="none"/>
                <w:lang w:val="en-US" w:eastAsia="zh-CN" w:bidi="ar"/>
                <w14:ligatures w14:val="none"/>
              </w:rPr>
              <w:t>活动</w:t>
            </w:r>
          </w:p>
        </w:tc>
      </w:tr>
      <w:tr>
        <w:tblPrEx>
          <w:tblCellMar>
            <w:top w:w="0" w:type="dxa"/>
            <w:left w:w="108" w:type="dxa"/>
            <w:bottom w:w="0" w:type="dxa"/>
            <w:right w:w="108" w:type="dxa"/>
          </w:tblCellMar>
        </w:tblPrEx>
        <w:trPr>
          <w:cantSplit/>
          <w:trHeight w:val="9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kern w:val="0"/>
                <w:sz w:val="24"/>
                <w:szCs w:val="24"/>
                <w:highlight w:val="none"/>
                <w:lang w:val="en-US" w:eastAsia="zh-CN" w:bidi="ar"/>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8</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kern w:val="0"/>
                <w:sz w:val="24"/>
                <w:szCs w:val="24"/>
                <w:highlight w:val="none"/>
                <w:lang w:bidi="ar"/>
                <w14:ligatures w14:val="none"/>
              </w:rPr>
            </w:pPr>
            <w:r>
              <w:rPr>
                <w:rFonts w:hint="eastAsia" w:ascii="Times New Roman" w:hAnsi="Times New Roman" w:eastAsia="仿宋_GB2312" w:cs="仿宋_GB2312"/>
                <w:color w:val="000000"/>
                <w:kern w:val="0"/>
                <w:sz w:val="24"/>
                <w:szCs w:val="24"/>
                <w:highlight w:val="none"/>
                <w:lang w:bidi="ar"/>
                <w14:ligatures w14:val="none"/>
              </w:rPr>
              <w:t>全国纺织服装职业教育教学指导委员会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kern w:val="0"/>
                <w:sz w:val="24"/>
                <w:szCs w:val="24"/>
                <w:highlight w:val="none"/>
                <w:lang w:bidi="ar"/>
                <w14:ligatures w14:val="none"/>
              </w:rPr>
            </w:pPr>
            <w:r>
              <w:rPr>
                <w:rFonts w:hint="eastAsia" w:ascii="Times New Roman" w:hAnsi="Times New Roman" w:eastAsia="仿宋_GB2312" w:cs="仿宋_GB2312"/>
                <w:color w:val="000000"/>
                <w:kern w:val="0"/>
                <w:sz w:val="24"/>
                <w:szCs w:val="24"/>
                <w:highlight w:val="none"/>
                <w:lang w:bidi="ar"/>
                <w14:ligatures w14:val="none"/>
              </w:rPr>
              <w:t>2025纺织服装行业产教融合与教育出海协同发展大会</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9</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全国钢铁职业教育教学指导委员会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钢铁行业大工匠进校园</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10</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全国工业和信息化职业教育教学指导委员会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职业教育赋能中小企业数字化转型供需对接活动</w:t>
            </w:r>
            <w:r>
              <w:rPr>
                <w:rFonts w:hint="eastAsia" w:ascii="Times New Roman" w:hAnsi="Times New Roman" w:eastAsia="仿宋_GB2312" w:cs="仿宋_GB2312"/>
                <w:color w:val="000000"/>
                <w:kern w:val="0"/>
                <w:sz w:val="24"/>
                <w:szCs w:val="24"/>
                <w:highlight w:val="none"/>
                <w:lang w:eastAsia="zh-CN" w:bidi="ar"/>
                <w14:ligatures w14:val="none"/>
              </w:rPr>
              <w:t>；新版职业教育通信类专业教学标准宣贯活动；人工智能+职业教育推动产业创新发展；2025新一代信息技术产业产教融合发展大会暨职业院校电子信息类学院院长和系主任年会</w:t>
            </w:r>
          </w:p>
        </w:tc>
      </w:tr>
      <w:tr>
        <w:tblPrEx>
          <w:tblCellMar>
            <w:top w:w="0" w:type="dxa"/>
            <w:left w:w="108" w:type="dxa"/>
            <w:bottom w:w="0" w:type="dxa"/>
            <w:right w:w="108" w:type="dxa"/>
          </w:tblCellMar>
        </w:tblPrEx>
        <w:trPr>
          <w:cantSplit/>
          <w:trHeight w:val="1136"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11</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全国供销合作职业教育教学指导委员会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“非遗+耕读教育”系列活动</w:t>
            </w:r>
            <w:r>
              <w:rPr>
                <w:rFonts w:hint="eastAsia" w:ascii="Times New Roman" w:hAnsi="Times New Roman" w:eastAsia="仿宋_GB2312" w:cs="仿宋_GB2312"/>
                <w:color w:val="000000"/>
                <w:kern w:val="0"/>
                <w:sz w:val="24"/>
                <w:szCs w:val="24"/>
                <w:highlight w:val="none"/>
                <w:lang w:eastAsia="zh-CN" w:bidi="ar"/>
                <w14:ligatures w14:val="none"/>
              </w:rPr>
              <w:t>；“职”播惠农，“乡”约好物-直播电商现场展示</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2</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全国广电与网络视听职业教育教学指导委员会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职业教育视听类专业数智化教材建设研讨活动</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3</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全国国土资源职业教育教学指导委员会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“地宝赋能 博物启智”系列亲子科普活动；“匠心锻造·勘探未来”地质勘查活动</w:t>
            </w:r>
          </w:p>
        </w:tc>
      </w:tr>
      <w:tr>
        <w:tblPrEx>
          <w:tblCellMar>
            <w:top w:w="0" w:type="dxa"/>
            <w:left w:w="108" w:type="dxa"/>
            <w:bottom w:w="0" w:type="dxa"/>
            <w:right w:w="108" w:type="dxa"/>
          </w:tblCellMar>
        </w:tblPrEx>
        <w:trPr>
          <w:cantSplit/>
          <w:trHeight w:val="704"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4</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全国航空工业职业教育教学指导委员会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航空文化进校园；无人机系主任工作会议</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5</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全国机械职业教育教学指导委员会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服务强国战略,深化技能人才培养——机械工业“十五五”人才培养规划专题调研</w:t>
            </w:r>
          </w:p>
        </w:tc>
      </w:tr>
      <w:tr>
        <w:tblPrEx>
          <w:tblCellMar>
            <w:top w:w="0" w:type="dxa"/>
            <w:left w:w="108" w:type="dxa"/>
            <w:bottom w:w="0" w:type="dxa"/>
            <w:right w:w="108" w:type="dxa"/>
          </w:tblCellMar>
        </w:tblPrEx>
        <w:trPr>
          <w:cantSplit/>
          <w:trHeight w:val="892"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6</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全国交通运输职业教育教学指导委员会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业务数字化运营与分析竞赛活动</w:t>
            </w:r>
            <w:r>
              <w:rPr>
                <w:rFonts w:hint="eastAsia" w:ascii="Times New Roman" w:hAnsi="Times New Roman" w:eastAsia="仿宋_GB2312" w:cs="仿宋_GB2312"/>
                <w:color w:val="000000"/>
                <w:kern w:val="0"/>
                <w:sz w:val="24"/>
                <w:szCs w:val="24"/>
                <w:highlight w:val="none"/>
                <w:lang w:eastAsia="zh-CN" w:bidi="ar"/>
                <w14:ligatures w14:val="none"/>
              </w:rPr>
              <w:t>；职业教育活动周海报征集活动</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7</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全国煤炭职业教育教学指导委员会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煤炭职业教育文化周</w:t>
            </w:r>
            <w:r>
              <w:rPr>
                <w:rFonts w:hint="eastAsia" w:ascii="Times New Roman" w:hAnsi="Times New Roman" w:eastAsia="仿宋_GB2312" w:cs="仿宋_GB2312"/>
                <w:color w:val="000000"/>
                <w:kern w:val="0"/>
                <w:sz w:val="24"/>
                <w:szCs w:val="24"/>
                <w:highlight w:val="none"/>
                <w:lang w:eastAsia="zh-CN" w:bidi="ar"/>
                <w14:ligatures w14:val="none"/>
              </w:rPr>
              <w:t>；走进生产事故救援国家队</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8</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全国民政职业教育教学指导委员会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智慧康养专业课程标准体系开发与教材体系建设推进会</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1</w:t>
            </w:r>
            <w:r>
              <w:rPr>
                <w:rFonts w:hint="eastAsia" w:ascii="Times New Roman" w:hAnsi="Times New Roman" w:eastAsia="仿宋_GB2312" w:cs="Times New Roman"/>
                <w:color w:val="000000"/>
                <w:kern w:val="0"/>
                <w:sz w:val="24"/>
                <w:szCs w:val="24"/>
                <w:highlight w:val="none"/>
                <w:lang w:val="en-US" w:eastAsia="zh-CN" w:bidi="ar"/>
                <w14:ligatures w14:val="none"/>
              </w:rPr>
              <w:t>9</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全国气象职业教育教学指导委员会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气象科普</w:t>
            </w:r>
            <w:r>
              <w:rPr>
                <w:rFonts w:hint="eastAsia" w:ascii="Times New Roman" w:hAnsi="Times New Roman" w:eastAsia="仿宋_GB2312" w:cs="仿宋_GB2312"/>
                <w:color w:val="000000"/>
                <w:kern w:val="0"/>
                <w:sz w:val="24"/>
                <w:szCs w:val="24"/>
                <w:highlight w:val="none"/>
                <w:lang w:val="en-US" w:eastAsia="zh-CN" w:bidi="ar"/>
                <w14:ligatures w14:val="none"/>
              </w:rPr>
              <w:t>进中小学</w:t>
            </w:r>
            <w:r>
              <w:rPr>
                <w:rFonts w:hint="eastAsia" w:ascii="Times New Roman" w:hAnsi="Times New Roman" w:eastAsia="仿宋_GB2312" w:cs="仿宋_GB2312"/>
                <w:color w:val="000000"/>
                <w:kern w:val="0"/>
                <w:sz w:val="24"/>
                <w:szCs w:val="24"/>
                <w:highlight w:val="none"/>
                <w:lang w:bidi="ar"/>
                <w14:ligatures w14:val="none"/>
              </w:rPr>
              <w:t>活动</w:t>
            </w:r>
            <w:r>
              <w:rPr>
                <w:rFonts w:hint="eastAsia" w:ascii="Times New Roman" w:hAnsi="Times New Roman" w:eastAsia="仿宋_GB2312" w:cs="仿宋_GB2312"/>
                <w:color w:val="000000"/>
                <w:kern w:val="0"/>
                <w:sz w:val="24"/>
                <w:szCs w:val="24"/>
                <w:highlight w:val="none"/>
                <w:lang w:eastAsia="zh-CN" w:bidi="ar"/>
                <w14:ligatures w14:val="none"/>
              </w:rPr>
              <w:t>；防灾减灾科普</w:t>
            </w:r>
            <w:r>
              <w:rPr>
                <w:rFonts w:hint="eastAsia" w:ascii="Times New Roman" w:hAnsi="Times New Roman" w:eastAsia="仿宋_GB2312" w:cs="仿宋_GB2312"/>
                <w:color w:val="000000"/>
                <w:kern w:val="0"/>
                <w:sz w:val="24"/>
                <w:szCs w:val="24"/>
                <w:highlight w:val="none"/>
                <w:lang w:val="en-US" w:eastAsia="zh-CN" w:bidi="ar"/>
                <w14:ligatures w14:val="none"/>
              </w:rPr>
              <w:t>进社区</w:t>
            </w:r>
            <w:r>
              <w:rPr>
                <w:rFonts w:hint="eastAsia" w:ascii="Times New Roman" w:hAnsi="Times New Roman" w:eastAsia="仿宋_GB2312" w:cs="仿宋_GB2312"/>
                <w:color w:val="000000"/>
                <w:kern w:val="0"/>
                <w:sz w:val="24"/>
                <w:szCs w:val="24"/>
                <w:highlight w:val="none"/>
                <w:lang w:eastAsia="zh-CN" w:bidi="ar"/>
                <w14:ligatures w14:val="none"/>
              </w:rPr>
              <w:t>活动；名专家进</w:t>
            </w:r>
            <w:r>
              <w:rPr>
                <w:rFonts w:hint="eastAsia" w:ascii="Times New Roman" w:hAnsi="Times New Roman" w:eastAsia="仿宋_GB2312" w:cs="仿宋_GB2312"/>
                <w:color w:val="000000"/>
                <w:kern w:val="0"/>
                <w:sz w:val="24"/>
                <w:szCs w:val="24"/>
                <w:highlight w:val="none"/>
                <w:lang w:val="en-US" w:eastAsia="zh-CN" w:bidi="ar"/>
                <w14:ligatures w14:val="none"/>
              </w:rPr>
              <w:t>职校</w:t>
            </w:r>
            <w:r>
              <w:rPr>
                <w:rFonts w:hint="eastAsia" w:ascii="Times New Roman" w:hAnsi="Times New Roman" w:eastAsia="仿宋_GB2312" w:cs="仿宋_GB2312"/>
                <w:color w:val="000000"/>
                <w:kern w:val="0"/>
                <w:sz w:val="24"/>
                <w:szCs w:val="24"/>
                <w:highlight w:val="none"/>
                <w:lang w:eastAsia="zh-CN" w:bidi="ar"/>
                <w14:ligatures w14:val="none"/>
              </w:rPr>
              <w:t>；全国大气探测基准站运行与维护论坛</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20</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全国汽车职业教育教学指导委员会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大国工匠/劳模/大师进校园巡讲活动；委员常态化调研“访企入校”活动；</w:t>
            </w:r>
            <w:r>
              <w:rPr>
                <w:rFonts w:hint="eastAsia" w:ascii="Times New Roman" w:hAnsi="Times New Roman" w:eastAsia="仿宋_GB2312" w:cs="仿宋_GB2312"/>
                <w:color w:val="000000"/>
                <w:kern w:val="0"/>
                <w:sz w:val="24"/>
                <w:szCs w:val="24"/>
                <w:highlight w:val="none"/>
                <w:lang w:val="en-US" w:eastAsia="zh-CN" w:bidi="ar"/>
                <w14:ligatures w14:val="none"/>
              </w:rPr>
              <w:t>汽车</w:t>
            </w:r>
            <w:r>
              <w:rPr>
                <w:rFonts w:hint="eastAsia" w:ascii="Times New Roman" w:hAnsi="Times New Roman" w:eastAsia="仿宋_GB2312" w:cs="仿宋_GB2312"/>
                <w:color w:val="000000"/>
                <w:kern w:val="0"/>
                <w:sz w:val="24"/>
                <w:szCs w:val="24"/>
                <w:highlight w:val="none"/>
                <w:lang w:bidi="ar"/>
                <w14:ligatures w14:val="none"/>
              </w:rPr>
              <w:t>专业教师数字素养（AI）提升集训营活动；“百城千校”</w:t>
            </w:r>
            <w:r>
              <w:rPr>
                <w:rFonts w:hint="eastAsia" w:ascii="Times New Roman" w:hAnsi="Times New Roman" w:eastAsia="仿宋_GB2312" w:cs="仿宋_GB2312"/>
                <w:color w:val="000000"/>
                <w:kern w:val="0"/>
                <w:sz w:val="24"/>
                <w:szCs w:val="24"/>
                <w:highlight w:val="none"/>
                <w:lang w:val="en-US" w:eastAsia="zh-CN" w:bidi="ar"/>
                <w14:ligatures w14:val="none"/>
              </w:rPr>
              <w:t>汽车</w:t>
            </w:r>
            <w:r>
              <w:rPr>
                <w:rFonts w:hint="eastAsia" w:ascii="Times New Roman" w:hAnsi="Times New Roman" w:eastAsia="仿宋_GB2312" w:cs="仿宋_GB2312"/>
                <w:color w:val="000000"/>
                <w:kern w:val="0"/>
                <w:sz w:val="24"/>
                <w:szCs w:val="24"/>
                <w:highlight w:val="none"/>
                <w:lang w:bidi="ar"/>
                <w14:ligatures w14:val="none"/>
              </w:rPr>
              <w:t>专业教学标准宣贯活动；“职业素养教育进院校工程”公益教学点集中授牌仪式</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21</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全国生态环境职业教育教学指导委员会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绿色技能赋能生态扬州——环境监测技术展示与职业体验互动</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2</w:t>
            </w:r>
            <w:r>
              <w:rPr>
                <w:rFonts w:hint="eastAsia" w:ascii="Times New Roman" w:hAnsi="Times New Roman" w:eastAsia="仿宋_GB2312" w:cs="Times New Roman"/>
                <w:color w:val="000000"/>
                <w:kern w:val="0"/>
                <w:sz w:val="24"/>
                <w:szCs w:val="24"/>
                <w:highlight w:val="none"/>
                <w:lang w:val="en-US" w:eastAsia="zh-CN" w:bidi="ar"/>
                <w14:ligatures w14:val="none"/>
              </w:rPr>
              <w:t>2</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全国生物技术职业教育教学指导委员会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第三届生物技术职业教育高质量发展大会暨2025年全国生物技术职业教育教学指导委员会工作会议</w:t>
            </w:r>
            <w:r>
              <w:rPr>
                <w:rFonts w:hint="eastAsia" w:ascii="Times New Roman" w:hAnsi="Times New Roman" w:eastAsia="仿宋_GB2312" w:cs="仿宋_GB2312"/>
                <w:color w:val="000000"/>
                <w:kern w:val="0"/>
                <w:sz w:val="24"/>
                <w:szCs w:val="24"/>
                <w:highlight w:val="none"/>
                <w:lang w:eastAsia="zh-CN" w:bidi="ar"/>
                <w14:ligatures w14:val="none"/>
              </w:rPr>
              <w:t>；2025年全国生物技术职业教育年会</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2</w:t>
            </w:r>
            <w:r>
              <w:rPr>
                <w:rFonts w:hint="eastAsia" w:ascii="Times New Roman" w:hAnsi="Times New Roman" w:eastAsia="仿宋_GB2312" w:cs="Times New Roman"/>
                <w:color w:val="000000"/>
                <w:kern w:val="0"/>
                <w:sz w:val="24"/>
                <w:szCs w:val="24"/>
                <w:highlight w:val="none"/>
                <w:lang w:val="en-US" w:eastAsia="zh-CN" w:bidi="ar"/>
                <w14:ligatures w14:val="none"/>
              </w:rPr>
              <w:t>3</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全国石油和化工职业教育教学指导委员会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石油和化工类专业青年教师工程实践培训活动</w:t>
            </w:r>
          </w:p>
        </w:tc>
      </w:tr>
      <w:tr>
        <w:tblPrEx>
          <w:tblCellMar>
            <w:top w:w="0" w:type="dxa"/>
            <w:left w:w="108" w:type="dxa"/>
            <w:bottom w:w="0" w:type="dxa"/>
            <w:right w:w="108" w:type="dxa"/>
          </w:tblCellMar>
        </w:tblPrEx>
        <w:trPr>
          <w:cantSplit/>
          <w:trHeight w:val="121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2</w:t>
            </w:r>
            <w:r>
              <w:rPr>
                <w:rFonts w:hint="eastAsia" w:ascii="Times New Roman" w:hAnsi="Times New Roman" w:eastAsia="仿宋_GB2312" w:cs="Times New Roman"/>
                <w:color w:val="000000"/>
                <w:kern w:val="0"/>
                <w:sz w:val="24"/>
                <w:szCs w:val="24"/>
                <w:highlight w:val="none"/>
                <w:lang w:val="en-US" w:eastAsia="zh-CN" w:bidi="ar"/>
                <w14:ligatures w14:val="none"/>
              </w:rPr>
              <w:t>4</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全国食品产业职业教育教学指导委员会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lang w:eastAsia="zh-CN"/>
                <w14:ligatures w14:val="none"/>
              </w:rPr>
            </w:pPr>
            <w:r>
              <w:rPr>
                <w:rFonts w:hint="eastAsia" w:ascii="Times New Roman" w:hAnsi="Times New Roman" w:eastAsia="仿宋_GB2312" w:cs="仿宋_GB2312"/>
                <w:color w:val="000000"/>
                <w:kern w:val="0"/>
                <w:sz w:val="24"/>
                <w:szCs w:val="24"/>
                <w:highlight w:val="none"/>
                <w:lang w:bidi="ar"/>
                <w14:ligatures w14:val="none"/>
              </w:rPr>
              <w:t>健康中国，我先行——营养科普宣传践行者</w:t>
            </w:r>
            <w:r>
              <w:rPr>
                <w:rFonts w:hint="eastAsia" w:ascii="Times New Roman" w:hAnsi="Times New Roman" w:eastAsia="仿宋_GB2312" w:cs="仿宋_GB2312"/>
                <w:color w:val="000000"/>
                <w:kern w:val="0"/>
                <w:sz w:val="24"/>
                <w:szCs w:val="24"/>
                <w:highlight w:val="none"/>
                <w:lang w:eastAsia="zh-CN" w:bidi="ar"/>
                <w14:ligatures w14:val="none"/>
              </w:rPr>
              <w:t>；2025年“职通未来”茶与食品行业专场招聘会；产教对接，服务发展——助力休闲食品产业“四链融合”</w:t>
            </w:r>
          </w:p>
        </w:tc>
      </w:tr>
      <w:tr>
        <w:tblPrEx>
          <w:tblCellMar>
            <w:top w:w="0" w:type="dxa"/>
            <w:left w:w="108" w:type="dxa"/>
            <w:bottom w:w="0" w:type="dxa"/>
            <w:right w:w="108" w:type="dxa"/>
          </w:tblCellMar>
        </w:tblPrEx>
        <w:trPr>
          <w:cantSplit/>
          <w:trHeight w:val="9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kern w:val="0"/>
                <w:sz w:val="24"/>
                <w:szCs w:val="24"/>
                <w:highlight w:val="none"/>
                <w:lang w:val="en-US" w:eastAsia="zh-CN" w:bidi="ar"/>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25</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kern w:val="0"/>
                <w:sz w:val="24"/>
                <w:szCs w:val="24"/>
                <w:highlight w:val="none"/>
                <w:lang w:bidi="ar"/>
                <w14:ligatures w14:val="none"/>
              </w:rPr>
            </w:pPr>
            <w:r>
              <w:rPr>
                <w:rFonts w:hint="eastAsia" w:ascii="Times New Roman" w:hAnsi="Times New Roman" w:eastAsia="仿宋_GB2312" w:cs="仿宋_GB2312"/>
                <w:color w:val="000000"/>
                <w:kern w:val="0"/>
                <w:sz w:val="24"/>
                <w:szCs w:val="24"/>
                <w:highlight w:val="none"/>
                <w:lang w:bidi="ar"/>
                <w14:ligatures w14:val="none"/>
              </w:rPr>
              <w:t>全国食品工业职业教育教学指导委员会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kern w:val="0"/>
                <w:sz w:val="24"/>
                <w:szCs w:val="24"/>
                <w:highlight w:val="none"/>
                <w:lang w:bidi="ar"/>
                <w14:ligatures w14:val="none"/>
              </w:rPr>
            </w:pPr>
            <w:r>
              <w:rPr>
                <w:rFonts w:hint="eastAsia" w:ascii="Times New Roman" w:hAnsi="Times New Roman" w:eastAsia="仿宋_GB2312" w:cs="仿宋_GB2312"/>
                <w:color w:val="000000"/>
                <w:kern w:val="0"/>
                <w:sz w:val="24"/>
                <w:szCs w:val="24"/>
                <w:highlight w:val="none"/>
                <w:lang w:bidi="ar"/>
                <w14:ligatures w14:val="none"/>
              </w:rPr>
              <w:t>“渝味匠心·产教共融”交流活动</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“大师面对面”企业一线学习交流实践活动</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“产教融合，共育食匠”交流活动</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2</w:t>
            </w:r>
            <w:r>
              <w:rPr>
                <w:rFonts w:hint="eastAsia" w:ascii="Times New Roman" w:hAnsi="Times New Roman" w:eastAsia="仿宋_GB2312" w:cs="Times New Roman"/>
                <w:color w:val="000000"/>
                <w:kern w:val="0"/>
                <w:sz w:val="24"/>
                <w:szCs w:val="24"/>
                <w:highlight w:val="none"/>
                <w:lang w:val="en-US" w:eastAsia="zh-CN" w:bidi="ar"/>
                <w14:ligatures w14:val="none"/>
              </w:rPr>
              <w:t>6</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全国市场监管职业教育教学指导委员会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“标准驱动创新，智能引领未来”——机器人智能制造标准化实践日</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质量强企 质量强区——质量人才聚高新</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eastAsia" w:ascii="Times New Roman" w:hAnsi="Times New Roman" w:eastAsia="仿宋_GB2312" w:cs="Times New Roman"/>
                <w:color w:val="000000"/>
                <w:sz w:val="24"/>
                <w:szCs w:val="24"/>
                <w:highlight w:val="none"/>
                <w:lang w:eastAsia="zh-CN"/>
                <w14:ligatures w14:val="none"/>
              </w:rPr>
            </w:pPr>
            <w:r>
              <w:rPr>
                <w:rFonts w:ascii="Times New Roman" w:hAnsi="Times New Roman" w:eastAsia="仿宋_GB2312" w:cs="Times New Roman"/>
                <w:color w:val="000000"/>
                <w:kern w:val="0"/>
                <w:sz w:val="24"/>
                <w:szCs w:val="24"/>
                <w:highlight w:val="none"/>
                <w:lang w:bidi="ar"/>
                <w14:ligatures w14:val="none"/>
              </w:rPr>
              <w:t>2</w:t>
            </w:r>
            <w:r>
              <w:rPr>
                <w:rFonts w:hint="eastAsia" w:ascii="Times New Roman" w:hAnsi="Times New Roman" w:eastAsia="仿宋_GB2312" w:cs="Times New Roman"/>
                <w:color w:val="000000"/>
                <w:kern w:val="0"/>
                <w:sz w:val="24"/>
                <w:szCs w:val="24"/>
                <w:highlight w:val="none"/>
                <w:lang w:val="en-US" w:eastAsia="zh-CN" w:bidi="ar"/>
                <w14:ligatures w14:val="none"/>
              </w:rPr>
              <w:t>7</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全国视光职业教育教学指导委员会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“近视防控”系列科普展览与宣讲活动</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近视防控与眼健康筛查与专业体验融合活动</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kern w:val="0"/>
                <w:sz w:val="24"/>
                <w:szCs w:val="24"/>
                <w:highlight w:val="none"/>
                <w:lang w:val="en-US" w:eastAsia="zh-CN" w:bidi="ar"/>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28</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default" w:ascii="Times New Roman" w:hAnsi="Times New Roman" w:eastAsia="仿宋_GB2312" w:cs="仿宋_GB2312"/>
                <w:color w:val="000000"/>
                <w:kern w:val="0"/>
                <w:sz w:val="24"/>
                <w:szCs w:val="24"/>
                <w:highlight w:val="none"/>
                <w:lang w:val="en-US" w:eastAsia="zh-CN" w:bidi="ar"/>
                <w14:ligatures w14:val="none"/>
              </w:rPr>
            </w:pPr>
            <w:r>
              <w:rPr>
                <w:rFonts w:hint="eastAsia" w:ascii="Times New Roman" w:hAnsi="Times New Roman" w:eastAsia="仿宋_GB2312" w:cs="仿宋_GB2312"/>
                <w:color w:val="000000"/>
                <w:kern w:val="0"/>
                <w:sz w:val="24"/>
                <w:szCs w:val="24"/>
                <w:highlight w:val="none"/>
                <w:lang w:val="en-US" w:eastAsia="zh-CN" w:bidi="ar"/>
                <w14:ligatures w14:val="none"/>
              </w:rPr>
              <w:t>全国铁道职业教育教学指导委员会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default" w:ascii="Times New Roman" w:hAnsi="Times New Roman" w:eastAsia="仿宋_GB2312" w:cs="仿宋_GB2312"/>
                <w:color w:val="000000"/>
                <w:kern w:val="0"/>
                <w:sz w:val="24"/>
                <w:szCs w:val="24"/>
                <w:highlight w:val="none"/>
                <w:lang w:val="en-US" w:eastAsia="zh-CN" w:bidi="ar"/>
                <w14:ligatures w14:val="none"/>
              </w:rPr>
            </w:pPr>
            <w:r>
              <w:rPr>
                <w:rFonts w:hint="eastAsia" w:ascii="Times New Roman" w:hAnsi="Times New Roman" w:eastAsia="仿宋_GB2312" w:cs="仿宋_GB2312"/>
                <w:color w:val="000000"/>
                <w:kern w:val="0"/>
                <w:sz w:val="24"/>
                <w:szCs w:val="24"/>
                <w:highlight w:val="none"/>
                <w:lang w:val="en-US" w:eastAsia="zh-CN" w:bidi="ar"/>
                <w14:ligatures w14:val="none"/>
              </w:rPr>
              <w:t>铁道行业产教融合基地建设经验交流；高铁工匠进校园；高铁科普宣传</w:t>
            </w:r>
          </w:p>
        </w:tc>
      </w:tr>
      <w:tr>
        <w:tblPrEx>
          <w:tblCellMar>
            <w:top w:w="0" w:type="dxa"/>
            <w:left w:w="108" w:type="dxa"/>
            <w:bottom w:w="0" w:type="dxa"/>
            <w:right w:w="108" w:type="dxa"/>
          </w:tblCellMar>
        </w:tblPrEx>
        <w:trPr>
          <w:cantSplit/>
          <w:trHeight w:val="68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29</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全国统计职业教育教学指导委员会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统计职业教育金教材建设座谈会</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30</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全国外经贸职业教育教学指导委员会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“AI赋能数智产业·共创商贸智慧未来”职教活动周</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“人工智能+外经贸职业教育”赋能特色产业带活动</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“丝路电商”惠全球—东盟电商推广活动</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31</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全国卫生健康职业教育教学指导委员会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康复之路，健康同行</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第十一届“全民营养周”活动</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32</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全国物流职业教育教学指导委员会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第六届全国供应链大赛</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“人工智能+职业教育”系列活动</w:t>
            </w:r>
          </w:p>
        </w:tc>
      </w:tr>
      <w:tr>
        <w:tblPrEx>
          <w:tblCellMar>
            <w:top w:w="0" w:type="dxa"/>
            <w:left w:w="108" w:type="dxa"/>
            <w:bottom w:w="0" w:type="dxa"/>
            <w:right w:w="108" w:type="dxa"/>
          </w:tblCellMar>
        </w:tblPrEx>
        <w:trPr>
          <w:cantSplit/>
          <w:trHeight w:val="7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3</w:t>
            </w:r>
            <w:r>
              <w:rPr>
                <w:rFonts w:hint="eastAsia" w:ascii="Times New Roman" w:hAnsi="Times New Roman" w:eastAsia="仿宋_GB2312" w:cs="Times New Roman"/>
                <w:color w:val="000000"/>
                <w:kern w:val="0"/>
                <w:sz w:val="24"/>
                <w:szCs w:val="24"/>
                <w:highlight w:val="none"/>
                <w:lang w:val="en-US" w:eastAsia="zh-CN" w:bidi="ar"/>
                <w14:ligatures w14:val="none"/>
              </w:rPr>
              <w:t>3</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全国新闻出版职业教育教学指导委员会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hint="eastAsia" w:ascii="Times New Roman" w:hAnsi="Times New Roman" w:eastAsia="仿宋_GB2312" w:cs="仿宋_GB2312"/>
                <w:color w:val="000000"/>
                <w:sz w:val="24"/>
                <w:szCs w:val="24"/>
                <w:highlight w:val="none"/>
                <w14:ligatures w14:val="none"/>
              </w:rPr>
            </w:pPr>
            <w:r>
              <w:rPr>
                <w:rFonts w:hint="eastAsia" w:ascii="Times New Roman" w:hAnsi="Times New Roman" w:eastAsia="仿宋_GB2312" w:cs="仿宋_GB2312"/>
                <w:color w:val="000000"/>
                <w:kern w:val="0"/>
                <w:sz w:val="24"/>
                <w:szCs w:val="24"/>
                <w:highlight w:val="none"/>
                <w:lang w:bidi="ar"/>
                <w14:ligatures w14:val="none"/>
              </w:rPr>
              <w:t>职业体验日</w:t>
            </w:r>
            <w:r>
              <w:rPr>
                <w:rFonts w:hint="eastAsia" w:ascii="Times New Roman" w:hAnsi="Times New Roman" w:eastAsia="仿宋_GB2312" w:cs="仿宋_GB2312"/>
                <w:color w:val="000000"/>
                <w:kern w:val="0"/>
                <w:sz w:val="24"/>
                <w:szCs w:val="24"/>
                <w:highlight w:val="none"/>
                <w:lang w:eastAsia="zh-CN" w:bidi="ar"/>
                <w14:ligatures w14:val="none"/>
              </w:rPr>
              <w:t>；</w:t>
            </w:r>
            <w:r>
              <w:rPr>
                <w:rFonts w:hint="eastAsia" w:ascii="Times New Roman" w:hAnsi="Times New Roman" w:eastAsia="仿宋_GB2312" w:cs="仿宋_GB2312"/>
                <w:color w:val="000000"/>
                <w:kern w:val="0"/>
                <w:sz w:val="24"/>
                <w:szCs w:val="24"/>
                <w:highlight w:val="none"/>
                <w:lang w:bidi="ar"/>
                <w14:ligatures w14:val="none"/>
              </w:rPr>
              <w:t>AI赋能印刷包装创意设计实践活动</w:t>
            </w:r>
          </w:p>
        </w:tc>
      </w:tr>
      <w:tr>
        <w:tblPrEx>
          <w:tblCellMar>
            <w:top w:w="0" w:type="dxa"/>
            <w:left w:w="108" w:type="dxa"/>
            <w:bottom w:w="0" w:type="dxa"/>
            <w:right w:w="108" w:type="dxa"/>
          </w:tblCellMar>
        </w:tblPrEx>
        <w:trPr>
          <w:cantSplit/>
          <w:trHeight w:val="69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34</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全国药品职业教育教学指导委员会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国际青年人才来华交流活动（访问交流+国际实习）</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3</w:t>
            </w:r>
            <w:r>
              <w:rPr>
                <w:rFonts w:hint="eastAsia" w:ascii="Times New Roman" w:hAnsi="Times New Roman" w:eastAsia="仿宋_GB2312" w:cs="Times New Roman"/>
                <w:color w:val="000000"/>
                <w:kern w:val="0"/>
                <w:sz w:val="24"/>
                <w:szCs w:val="24"/>
                <w:highlight w:val="none"/>
                <w:lang w:val="en-US" w:eastAsia="zh-CN" w:bidi="ar"/>
                <w14:ligatures w14:val="none"/>
              </w:rPr>
              <w:t>5</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全国邮政快递职业教育教学指导委员会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全国邮政行业产教融合共</w:t>
            </w:r>
            <w:bookmarkStart w:id="0" w:name="_GoBack"/>
            <w:bookmarkEnd w:id="0"/>
            <w:r>
              <w:rPr>
                <w:rFonts w:hint="eastAsia" w:ascii="Times New Roman" w:hAnsi="Times New Roman" w:eastAsia="仿宋_GB2312" w:cs="Times New Roman"/>
                <w:color w:val="000000"/>
                <w:kern w:val="0"/>
                <w:sz w:val="24"/>
                <w:szCs w:val="24"/>
                <w:highlight w:val="none"/>
                <w:lang w:bidi="ar"/>
                <w14:ligatures w14:val="none"/>
              </w:rPr>
              <w:t>同体成立大会</w:t>
            </w:r>
          </w:p>
        </w:tc>
      </w:tr>
      <w:tr>
        <w:tblPrEx>
          <w:tblCellMar>
            <w:top w:w="0" w:type="dxa"/>
            <w:left w:w="108" w:type="dxa"/>
            <w:bottom w:w="0" w:type="dxa"/>
            <w:right w:w="108" w:type="dxa"/>
          </w:tblCellMar>
        </w:tblPrEx>
        <w:trPr>
          <w:cantSplit/>
          <w:trHeight w:val="405"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3</w:t>
            </w:r>
            <w:r>
              <w:rPr>
                <w:rFonts w:hint="eastAsia" w:ascii="Times New Roman" w:hAnsi="Times New Roman" w:eastAsia="仿宋_GB2312" w:cs="Times New Roman"/>
                <w:color w:val="000000"/>
                <w:kern w:val="0"/>
                <w:sz w:val="24"/>
                <w:szCs w:val="24"/>
                <w:highlight w:val="none"/>
                <w:lang w:val="en-US" w:eastAsia="zh-CN" w:bidi="ar"/>
                <w14:ligatures w14:val="none"/>
              </w:rPr>
              <w:t>6</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全国中医药职业教育教学指导委员会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针灸推拿技能大赛</w:t>
            </w:r>
            <w:r>
              <w:rPr>
                <w:rFonts w:hint="eastAsia" w:ascii="Times New Roman" w:hAnsi="Times New Roman" w:eastAsia="仿宋_GB2312" w:cs="Times New Roman"/>
                <w:color w:val="000000"/>
                <w:kern w:val="0"/>
                <w:sz w:val="24"/>
                <w:szCs w:val="24"/>
                <w:highlight w:val="none"/>
                <w:lang w:eastAsia="zh-CN" w:bidi="ar"/>
                <w14:ligatures w14:val="none"/>
              </w:rPr>
              <w:t>；</w:t>
            </w:r>
            <w:r>
              <w:rPr>
                <w:rFonts w:hint="eastAsia" w:ascii="Times New Roman" w:hAnsi="Times New Roman" w:eastAsia="仿宋_GB2312" w:cs="Times New Roman"/>
                <w:color w:val="000000"/>
                <w:kern w:val="0"/>
                <w:sz w:val="24"/>
                <w:szCs w:val="24"/>
                <w:highlight w:val="none"/>
                <w:lang w:bidi="ar"/>
                <w14:ligatures w14:val="none"/>
              </w:rPr>
              <w:t>一校一师一技一风采线上活动</w:t>
            </w:r>
          </w:p>
        </w:tc>
      </w:tr>
      <w:tr>
        <w:tblPrEx>
          <w:tblCellMar>
            <w:top w:w="0" w:type="dxa"/>
            <w:left w:w="108" w:type="dxa"/>
            <w:bottom w:w="0" w:type="dxa"/>
            <w:right w:w="108" w:type="dxa"/>
          </w:tblCellMar>
        </w:tblPrEx>
        <w:trPr>
          <w:cantSplit/>
          <w:trHeight w:val="75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3</w:t>
            </w:r>
            <w:r>
              <w:rPr>
                <w:rFonts w:hint="eastAsia" w:ascii="Times New Roman" w:hAnsi="Times New Roman" w:eastAsia="仿宋_GB2312" w:cs="Times New Roman"/>
                <w:color w:val="000000"/>
                <w:kern w:val="0"/>
                <w:sz w:val="24"/>
                <w:szCs w:val="24"/>
                <w:highlight w:val="none"/>
                <w:lang w:val="en-US" w:eastAsia="zh-CN" w:bidi="ar"/>
                <w14:ligatures w14:val="none"/>
              </w:rPr>
              <w:t>7</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全国住房和城乡建设职业教育教学指导委员会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行业职业教育专家支疆行</w:t>
            </w:r>
          </w:p>
        </w:tc>
      </w:tr>
      <w:tr>
        <w:tblPrEx>
          <w:tblCellMar>
            <w:top w:w="0" w:type="dxa"/>
            <w:left w:w="108" w:type="dxa"/>
            <w:bottom w:w="0" w:type="dxa"/>
            <w:right w:w="108" w:type="dxa"/>
          </w:tblCellMar>
        </w:tblPrEx>
        <w:trPr>
          <w:cantSplit/>
          <w:trHeight w:val="912"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3</w:t>
            </w:r>
            <w:r>
              <w:rPr>
                <w:rFonts w:hint="eastAsia" w:ascii="Times New Roman" w:hAnsi="Times New Roman" w:eastAsia="仿宋_GB2312" w:cs="Times New Roman"/>
                <w:color w:val="000000"/>
                <w:kern w:val="0"/>
                <w:sz w:val="24"/>
                <w:szCs w:val="24"/>
                <w:highlight w:val="none"/>
                <w:lang w:val="en-US" w:eastAsia="zh-CN" w:bidi="ar"/>
                <w14:ligatures w14:val="none"/>
              </w:rPr>
              <w:t>8</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教育部职业院校教育类专业教学指导委员会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both"/>
              <w:rPr>
                <w:rFonts w:ascii="Times New Roman" w:hAnsi="Times New Roman" w:eastAsia="仿宋_GB2312"/>
                <w:sz w:val="32"/>
                <w:szCs w:val="22"/>
                <w14:ligatures w14:val="standardContextual"/>
              </w:rPr>
            </w:pPr>
            <w:r>
              <w:rPr>
                <w:rFonts w:hint="eastAsia" w:ascii="Times New Roman" w:hAnsi="Times New Roman" w:eastAsia="仿宋_GB2312" w:cs="Times New Roman"/>
                <w:color w:val="000000"/>
                <w:kern w:val="0"/>
                <w:sz w:val="24"/>
                <w:szCs w:val="24"/>
                <w:highlight w:val="none"/>
                <w:lang w:bidi="ar"/>
                <w14:ligatures w14:val="none"/>
              </w:rPr>
              <w:t>乡村幼教师资“研训诊改”共同体活动</w:t>
            </w:r>
            <w:r>
              <w:rPr>
                <w:rFonts w:hint="eastAsia" w:ascii="Times New Roman" w:hAnsi="Times New Roman" w:eastAsia="仿宋_GB2312" w:cs="Times New Roman"/>
                <w:color w:val="000000"/>
                <w:kern w:val="0"/>
                <w:sz w:val="24"/>
                <w:szCs w:val="24"/>
                <w:highlight w:val="none"/>
                <w:lang w:eastAsia="zh-CN" w:bidi="ar"/>
                <w14:ligatures w14:val="none"/>
              </w:rPr>
              <w:t>；</w:t>
            </w:r>
          </w:p>
          <w:p>
            <w:pPr>
              <w:keepNext w:val="0"/>
              <w:keepLines w:val="0"/>
              <w:pageBreakBefore w:val="0"/>
              <w:widowControl/>
              <w:kinsoku/>
              <w:wordWrap/>
              <w:overflowPunct/>
              <w:topLinePunct w:val="0"/>
              <w:autoSpaceDE/>
              <w:autoSpaceDN/>
              <w:bidi w:val="0"/>
              <w:adjustRightInd w:val="0"/>
              <w:snapToGrid w:val="0"/>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幼儿园课程高质量建设现场会</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39</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教育部职业院校外语类专业教学指导委员会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留学生学习成果展演暨非遗文化体验活动</w:t>
            </w:r>
            <w:r>
              <w:rPr>
                <w:rFonts w:hint="eastAsia" w:ascii="Times New Roman" w:hAnsi="Times New Roman" w:eastAsia="仿宋_GB2312" w:cs="Times New Roman"/>
                <w:color w:val="000000"/>
                <w:kern w:val="0"/>
                <w:sz w:val="24"/>
                <w:szCs w:val="24"/>
                <w:highlight w:val="none"/>
                <w:lang w:eastAsia="zh-CN" w:bidi="ar"/>
                <w14:ligatures w14:val="none"/>
              </w:rPr>
              <w:t>；</w:t>
            </w:r>
            <w:r>
              <w:rPr>
                <w:rFonts w:hint="eastAsia" w:ascii="Times New Roman" w:hAnsi="Times New Roman" w:eastAsia="仿宋_GB2312" w:cs="Times New Roman"/>
                <w:color w:val="000000"/>
                <w:kern w:val="0"/>
                <w:sz w:val="24"/>
                <w:szCs w:val="24"/>
                <w:highlight w:val="none"/>
                <w:lang w:bidi="ar"/>
                <w14:ligatures w14:val="none"/>
              </w:rPr>
              <w:t>职教出海对接交流会</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40</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教育部职业院校艺术设计类专业教学指导委员会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新动漫·职教动漫随企出海丝路行</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eastAsia="zh-CN"/>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41</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教育部职业院校文化素质教育指导委员会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美育课程集体备课活动</w:t>
            </w:r>
            <w:r>
              <w:rPr>
                <w:rFonts w:hint="eastAsia" w:ascii="Times New Roman" w:hAnsi="Times New Roman" w:eastAsia="仿宋_GB2312" w:cs="Times New Roman"/>
                <w:color w:val="000000"/>
                <w:kern w:val="0"/>
                <w:sz w:val="24"/>
                <w:szCs w:val="24"/>
                <w:highlight w:val="none"/>
                <w:lang w:eastAsia="zh-CN" w:bidi="ar"/>
                <w14:ligatures w14:val="none"/>
              </w:rPr>
              <w:t>；</w:t>
            </w:r>
            <w:r>
              <w:rPr>
                <w:rFonts w:hint="eastAsia" w:ascii="Times New Roman" w:hAnsi="Times New Roman" w:eastAsia="仿宋_GB2312" w:cs="Times New Roman"/>
                <w:color w:val="000000"/>
                <w:kern w:val="0"/>
                <w:sz w:val="24"/>
                <w:szCs w:val="24"/>
                <w:highlight w:val="none"/>
                <w:lang w:bidi="ar"/>
                <w14:ligatures w14:val="none"/>
              </w:rPr>
              <w:t>职业学校劳动教育课程集体备课活动</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hint="default" w:ascii="Times New Roman" w:hAnsi="Times New Roman" w:eastAsia="仿宋_GB2312" w:cs="Times New Roman"/>
                <w:color w:val="000000"/>
                <w:sz w:val="24"/>
                <w:szCs w:val="24"/>
                <w:highlight w:val="none"/>
                <w:lang w:val="en-US"/>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42</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教育部职业院校信息化教学指导委员会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第十一届职业院校信息化教学改革与创新发展论坛</w:t>
            </w:r>
          </w:p>
        </w:tc>
      </w:tr>
      <w:tr>
        <w:tblPrEx>
          <w:tblCellMar>
            <w:top w:w="0" w:type="dxa"/>
            <w:left w:w="108" w:type="dxa"/>
            <w:bottom w:w="0" w:type="dxa"/>
            <w:right w:w="108" w:type="dxa"/>
          </w:tblCellMar>
        </w:tblPrEx>
        <w:trPr>
          <w:cantSplit/>
          <w:trHeight w:val="810" w:hRule="atLeast"/>
        </w:trPr>
        <w:tc>
          <w:tcPr>
            <w:tcW w:w="4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val="en-US" w:eastAsia="zh-CN" w:bidi="ar"/>
                <w14:ligatures w14:val="none"/>
              </w:rPr>
              <w:t>43</w:t>
            </w:r>
          </w:p>
        </w:tc>
        <w:tc>
          <w:tcPr>
            <w:tcW w:w="1642"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left"/>
              <w:textAlignment w:val="center"/>
              <w:rPr>
                <w:rFonts w:ascii="Times New Roman" w:hAnsi="Times New Roman" w:eastAsia="仿宋_GB2312" w:cs="Times New Roman"/>
                <w:color w:val="000000"/>
                <w:sz w:val="24"/>
                <w:szCs w:val="24"/>
                <w:highlight w:val="none"/>
                <w14:ligatures w14:val="none"/>
              </w:rPr>
            </w:pPr>
            <w:r>
              <w:rPr>
                <w:rFonts w:ascii="Times New Roman" w:hAnsi="Times New Roman" w:eastAsia="仿宋_GB2312" w:cs="Times New Roman"/>
                <w:color w:val="000000"/>
                <w:kern w:val="0"/>
                <w:sz w:val="24"/>
                <w:szCs w:val="24"/>
                <w:highlight w:val="none"/>
                <w:lang w:bidi="ar"/>
                <w14:ligatures w14:val="none"/>
              </w:rPr>
              <w:t>教育部职业院校中国特色学徒制教学指导委员会</w:t>
            </w:r>
          </w:p>
        </w:tc>
        <w:tc>
          <w:tcPr>
            <w:tcW w:w="29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spacing w:line="240" w:lineRule="auto"/>
              <w:ind w:firstLine="0" w:firstLineChars="0"/>
              <w:jc w:val="both"/>
              <w:textAlignment w:val="center"/>
              <w:rPr>
                <w:rFonts w:ascii="Times New Roman" w:hAnsi="Times New Roman" w:eastAsia="仿宋_GB2312" w:cs="Times New Roman"/>
                <w:color w:val="000000"/>
                <w:sz w:val="24"/>
                <w:szCs w:val="24"/>
                <w:highlight w:val="none"/>
                <w14:ligatures w14:val="none"/>
              </w:rPr>
            </w:pPr>
            <w:r>
              <w:rPr>
                <w:rFonts w:hint="eastAsia" w:ascii="Times New Roman" w:hAnsi="Times New Roman" w:eastAsia="仿宋_GB2312" w:cs="Times New Roman"/>
                <w:color w:val="000000"/>
                <w:kern w:val="0"/>
                <w:sz w:val="24"/>
                <w:szCs w:val="24"/>
                <w:highlight w:val="none"/>
                <w:lang w:bidi="ar"/>
                <w14:ligatures w14:val="none"/>
              </w:rPr>
              <w:t>中国特色学徒制实施指导、培训与交流活动</w:t>
            </w:r>
            <w:r>
              <w:rPr>
                <w:rFonts w:hint="eastAsia" w:ascii="Times New Roman" w:hAnsi="Times New Roman" w:eastAsia="仿宋_GB2312" w:cs="Times New Roman"/>
                <w:color w:val="000000"/>
                <w:kern w:val="0"/>
                <w:sz w:val="24"/>
                <w:szCs w:val="24"/>
                <w:highlight w:val="none"/>
                <w:lang w:eastAsia="zh-CN" w:bidi="ar"/>
                <w14:ligatures w14:val="none"/>
              </w:rPr>
              <w:t>；</w:t>
            </w:r>
            <w:r>
              <w:rPr>
                <w:rFonts w:hint="eastAsia" w:ascii="Times New Roman" w:hAnsi="Times New Roman" w:eastAsia="仿宋_GB2312" w:cs="Times New Roman"/>
                <w:color w:val="000000"/>
                <w:kern w:val="0"/>
                <w:sz w:val="24"/>
                <w:szCs w:val="24"/>
                <w:highlight w:val="none"/>
                <w:lang w:bidi="ar"/>
                <w14:ligatures w14:val="none"/>
              </w:rPr>
              <w:t>中国特色学徒制国际化人才培养研讨会</w:t>
            </w:r>
          </w:p>
        </w:tc>
      </w:tr>
    </w:tbl>
    <w:p>
      <w:pPr>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eastAsia" w:ascii="Times New Roman" w:hAnsi="Times New Roman" w:eastAsia="黑体" w:cs="黑体"/>
          <w:i w:val="0"/>
          <w:iCs w:val="0"/>
          <w:caps w:val="0"/>
          <w:color w:val="auto"/>
          <w:spacing w:val="0"/>
          <w:sz w:val="32"/>
          <w:szCs w:val="32"/>
          <w:shd w:val="clear" w:fill="FFFFFF"/>
          <w:lang w:val="en-US" w:eastAsia="zh-CN"/>
        </w:rPr>
      </w:pPr>
    </w:p>
    <w:sectPr>
      <w:footerReference r:id="rId3" w:type="default"/>
      <w:pgSz w:w="11906" w:h="16838"/>
      <w:pgMar w:top="2098" w:right="1474" w:bottom="1984" w:left="1587" w:header="851" w:footer="1531" w:gutter="0"/>
      <w:pgNumType w:fmt="decimal" w:start="8"/>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CAGKDB+CESI_FS_GB18030"/>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AGKDB+CESI_FS_GB18030">
    <w:altName w:val="宋体"/>
    <w:panose1 w:val="02000500000000000000"/>
    <w:charset w:val="86"/>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6"/>
                            <w:rPr>
                              <w:rFonts w:hint="default" w:ascii="Times New Roman" w:hAnsi="Times New Roman" w:cs="Times New Roman"/>
                              <w:sz w:val="28"/>
                              <w:szCs w:val="44"/>
                            </w:rPr>
                          </w:pPr>
                          <w:r>
                            <w:rPr>
                              <w:rFonts w:hint="eastAsia" w:ascii="Times New Roman" w:hAnsi="Times New Roman" w:cs="Times New Roman"/>
                              <w:sz w:val="28"/>
                              <w:szCs w:val="44"/>
                              <w:lang w:eastAsia="zh-CN"/>
                            </w:rPr>
                            <w:t>—</w:t>
                          </w:r>
                          <w:r>
                            <w:rPr>
                              <w:rFonts w:hint="eastAsia" w:ascii="Times New Roman" w:hAnsi="Times New Roman" w:cs="Times New Roman"/>
                              <w:sz w:val="28"/>
                              <w:szCs w:val="44"/>
                              <w:lang w:val="en-US" w:eastAsia="zh-CN"/>
                            </w:rPr>
                            <w:t xml:space="preserve"> </w:t>
                          </w:r>
                          <w:r>
                            <w:rPr>
                              <w:rFonts w:hint="default" w:ascii="Times New Roman" w:hAnsi="Times New Roman" w:cs="Times New Roman"/>
                              <w:sz w:val="28"/>
                              <w:szCs w:val="44"/>
                            </w:rPr>
                            <w:fldChar w:fldCharType="begin"/>
                          </w:r>
                          <w:r>
                            <w:rPr>
                              <w:rFonts w:hint="default" w:ascii="Times New Roman" w:hAnsi="Times New Roman" w:cs="Times New Roman"/>
                              <w:sz w:val="28"/>
                              <w:szCs w:val="44"/>
                            </w:rPr>
                            <w:instrText xml:space="preserve"> PAGE  \* MERGEFORMAT </w:instrText>
                          </w:r>
                          <w:r>
                            <w:rPr>
                              <w:rFonts w:hint="default" w:ascii="Times New Roman" w:hAnsi="Times New Roman" w:cs="Times New Roman"/>
                              <w:sz w:val="28"/>
                              <w:szCs w:val="44"/>
                            </w:rPr>
                            <w:fldChar w:fldCharType="separate"/>
                          </w:r>
                          <w:r>
                            <w:rPr>
                              <w:rFonts w:hint="default" w:ascii="Times New Roman" w:hAnsi="Times New Roman" w:cs="Times New Roman"/>
                              <w:sz w:val="28"/>
                              <w:szCs w:val="44"/>
                            </w:rPr>
                            <w:t>1</w:t>
                          </w:r>
                          <w:r>
                            <w:rPr>
                              <w:rFonts w:hint="default" w:ascii="Times New Roman" w:hAnsi="Times New Roman" w:cs="Times New Roman"/>
                              <w:sz w:val="28"/>
                              <w:szCs w:val="44"/>
                            </w:rPr>
                            <w:fldChar w:fldCharType="end"/>
                          </w:r>
                          <w:r>
                            <w:rPr>
                              <w:rFonts w:hint="eastAsia" w:ascii="Times New Roman" w:hAnsi="Times New Roman" w:cs="Times New Roman"/>
                              <w:sz w:val="28"/>
                              <w:szCs w:val="44"/>
                              <w:lang w:val="en-US" w:eastAsia="zh-CN"/>
                            </w:rPr>
                            <w:t xml:space="preserve"> </w:t>
                          </w:r>
                          <w:r>
                            <w:rPr>
                              <w:rFonts w:hint="eastAsia" w:ascii="Times New Roman" w:hAnsi="Times New Roman" w:cs="Times New Roman"/>
                              <w:sz w:val="28"/>
                              <w:szCs w:val="4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">
              <v:fill on="f" focussize="0,0"/>
              <v:stroke on="f" weight="0.5pt"/>
              <v:imagedata o:title=""/>
              <o:lock v:ext="edit" aspectratio="f"/>
              <v:textbox inset="0mm,0mm,0mm,0mm" style="mso-fit-shape-to-text:t;">
                <w:txbxContent>
                  <w:p>
                    <w:pPr>
                      <w:pStyle w:val="6"/>
                      <w:rPr>
                        <w:rFonts w:hint="default" w:ascii="Times New Roman" w:hAnsi="Times New Roman" w:cs="Times New Roman"/>
                        <w:sz w:val="28"/>
                        <w:szCs w:val="44"/>
                      </w:rPr>
                    </w:pPr>
                    <w:r>
                      <w:rPr>
                        <w:rFonts w:hint="eastAsia" w:ascii="Times New Roman" w:hAnsi="Times New Roman" w:cs="Times New Roman"/>
                        <w:sz w:val="28"/>
                        <w:szCs w:val="44"/>
                        <w:lang w:eastAsia="zh-CN"/>
                      </w:rPr>
                      <w:t>—</w:t>
                    </w:r>
                    <w:r>
                      <w:rPr>
                        <w:rFonts w:hint="eastAsia" w:ascii="Times New Roman" w:hAnsi="Times New Roman" w:cs="Times New Roman"/>
                        <w:sz w:val="28"/>
                        <w:szCs w:val="44"/>
                        <w:lang w:val="en-US" w:eastAsia="zh-CN"/>
                      </w:rPr>
                      <w:t xml:space="preserve"> </w:t>
                    </w:r>
                    <w:r>
                      <w:rPr>
                        <w:rFonts w:hint="default" w:ascii="Times New Roman" w:hAnsi="Times New Roman" w:cs="Times New Roman"/>
                        <w:sz w:val="28"/>
                        <w:szCs w:val="44"/>
                      </w:rPr>
                      <w:fldChar w:fldCharType="begin"/>
                    </w:r>
                    <w:r>
                      <w:rPr>
                        <w:rFonts w:hint="default" w:ascii="Times New Roman" w:hAnsi="Times New Roman" w:cs="Times New Roman"/>
                        <w:sz w:val="28"/>
                        <w:szCs w:val="44"/>
                      </w:rPr>
                      <w:instrText xml:space="preserve"> PAGE  \* MERGEFORMAT </w:instrText>
                    </w:r>
                    <w:r>
                      <w:rPr>
                        <w:rFonts w:hint="default" w:ascii="Times New Roman" w:hAnsi="Times New Roman" w:cs="Times New Roman"/>
                        <w:sz w:val="28"/>
                        <w:szCs w:val="44"/>
                      </w:rPr>
                      <w:fldChar w:fldCharType="separate"/>
                    </w:r>
                    <w:r>
                      <w:rPr>
                        <w:rFonts w:hint="default" w:ascii="Times New Roman" w:hAnsi="Times New Roman" w:cs="Times New Roman"/>
                        <w:sz w:val="28"/>
                        <w:szCs w:val="44"/>
                      </w:rPr>
                      <w:t>1</w:t>
                    </w:r>
                    <w:r>
                      <w:rPr>
                        <w:rFonts w:hint="default" w:ascii="Times New Roman" w:hAnsi="Times New Roman" w:cs="Times New Roman"/>
                        <w:sz w:val="28"/>
                        <w:szCs w:val="44"/>
                      </w:rPr>
                      <w:fldChar w:fldCharType="end"/>
                    </w:r>
                    <w:r>
                      <w:rPr>
                        <w:rFonts w:hint="eastAsia" w:ascii="Times New Roman" w:hAnsi="Times New Roman" w:cs="Times New Roman"/>
                        <w:sz w:val="28"/>
                        <w:szCs w:val="44"/>
                        <w:lang w:val="en-US" w:eastAsia="zh-CN"/>
                      </w:rPr>
                      <w:t xml:space="preserve"> </w:t>
                    </w:r>
                    <w:r>
                      <w:rPr>
                        <w:rFonts w:hint="eastAsia" w:ascii="Times New Roman" w:hAnsi="Times New Roman" w:cs="Times New Roman"/>
                        <w:sz w:val="28"/>
                        <w:szCs w:val="44"/>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ZlYjc1OTRiODY5NWVkZmE2OTE4ODYwNjlhZTc3MjIifQ=="/>
    <w:docVar w:name="KSO_WPS_MARK_KEY" w:val="50f3b612-3a34-41d2-85e3-1eda8ca4e042"/>
  </w:docVars>
  <w:rsids>
    <w:rsidRoot w:val="00000000"/>
    <w:rsid w:val="01903403"/>
    <w:rsid w:val="02247ACE"/>
    <w:rsid w:val="02313F99"/>
    <w:rsid w:val="034E3C4C"/>
    <w:rsid w:val="0433224A"/>
    <w:rsid w:val="047F0547"/>
    <w:rsid w:val="048605CC"/>
    <w:rsid w:val="049B66B8"/>
    <w:rsid w:val="04CE5ACF"/>
    <w:rsid w:val="04FC088E"/>
    <w:rsid w:val="05367A7B"/>
    <w:rsid w:val="05832D5D"/>
    <w:rsid w:val="07401C9C"/>
    <w:rsid w:val="07966D78"/>
    <w:rsid w:val="07E34F37"/>
    <w:rsid w:val="082735FF"/>
    <w:rsid w:val="08807B8C"/>
    <w:rsid w:val="08B87D63"/>
    <w:rsid w:val="0BCC778B"/>
    <w:rsid w:val="0D116EA1"/>
    <w:rsid w:val="0D701E19"/>
    <w:rsid w:val="0D742694"/>
    <w:rsid w:val="0DBC0BBA"/>
    <w:rsid w:val="0EB36461"/>
    <w:rsid w:val="0FEF14EC"/>
    <w:rsid w:val="102A2753"/>
    <w:rsid w:val="106669BD"/>
    <w:rsid w:val="10F62635"/>
    <w:rsid w:val="12394ECF"/>
    <w:rsid w:val="133D279D"/>
    <w:rsid w:val="14292D22"/>
    <w:rsid w:val="14AD5701"/>
    <w:rsid w:val="15146F74"/>
    <w:rsid w:val="16D2706D"/>
    <w:rsid w:val="18537DDC"/>
    <w:rsid w:val="185E3062"/>
    <w:rsid w:val="18C33745"/>
    <w:rsid w:val="1A206975"/>
    <w:rsid w:val="1BBE480C"/>
    <w:rsid w:val="1BF400B9"/>
    <w:rsid w:val="1E876FC3"/>
    <w:rsid w:val="1E9C6129"/>
    <w:rsid w:val="1F152820"/>
    <w:rsid w:val="20254CE5"/>
    <w:rsid w:val="20A976C4"/>
    <w:rsid w:val="2100305C"/>
    <w:rsid w:val="215D04AF"/>
    <w:rsid w:val="21845A3B"/>
    <w:rsid w:val="21CC4AF5"/>
    <w:rsid w:val="228F4698"/>
    <w:rsid w:val="23EE5B96"/>
    <w:rsid w:val="248E5AC8"/>
    <w:rsid w:val="24B60AEF"/>
    <w:rsid w:val="258E6E89"/>
    <w:rsid w:val="25B6018D"/>
    <w:rsid w:val="25CB4A15"/>
    <w:rsid w:val="277F25B6"/>
    <w:rsid w:val="27C50245"/>
    <w:rsid w:val="27CC3C98"/>
    <w:rsid w:val="27F57A75"/>
    <w:rsid w:val="28B46C06"/>
    <w:rsid w:val="28FE4325"/>
    <w:rsid w:val="298F31CF"/>
    <w:rsid w:val="299F1664"/>
    <w:rsid w:val="2A980BA9"/>
    <w:rsid w:val="2B8E7493"/>
    <w:rsid w:val="2BA23EF9"/>
    <w:rsid w:val="2BB84C5F"/>
    <w:rsid w:val="2D77E75B"/>
    <w:rsid w:val="2EFEFFEE"/>
    <w:rsid w:val="2F4131BE"/>
    <w:rsid w:val="302E3742"/>
    <w:rsid w:val="3337290D"/>
    <w:rsid w:val="33C12D10"/>
    <w:rsid w:val="34D80447"/>
    <w:rsid w:val="34E1003A"/>
    <w:rsid w:val="352B65C9"/>
    <w:rsid w:val="3538403C"/>
    <w:rsid w:val="35906EE8"/>
    <w:rsid w:val="36494FC4"/>
    <w:rsid w:val="39AB5E03"/>
    <w:rsid w:val="3B163750"/>
    <w:rsid w:val="3B9A612F"/>
    <w:rsid w:val="3BE23632"/>
    <w:rsid w:val="3D042EFE"/>
    <w:rsid w:val="3D9112A1"/>
    <w:rsid w:val="3ED2439F"/>
    <w:rsid w:val="3F967801"/>
    <w:rsid w:val="407E2EEA"/>
    <w:rsid w:val="412D35A2"/>
    <w:rsid w:val="418238EE"/>
    <w:rsid w:val="43B6787E"/>
    <w:rsid w:val="4416031D"/>
    <w:rsid w:val="4488746D"/>
    <w:rsid w:val="44E5790E"/>
    <w:rsid w:val="44F92736"/>
    <w:rsid w:val="452B576C"/>
    <w:rsid w:val="45EC57D9"/>
    <w:rsid w:val="469D4D26"/>
    <w:rsid w:val="46D007F6"/>
    <w:rsid w:val="479E6FA7"/>
    <w:rsid w:val="480768FB"/>
    <w:rsid w:val="483B65A4"/>
    <w:rsid w:val="48425B85"/>
    <w:rsid w:val="48EE6A9E"/>
    <w:rsid w:val="495C2C76"/>
    <w:rsid w:val="4AA902CF"/>
    <w:rsid w:val="4B06733D"/>
    <w:rsid w:val="4B9F47F4"/>
    <w:rsid w:val="4BFD058E"/>
    <w:rsid w:val="4C1B2975"/>
    <w:rsid w:val="4D074A5C"/>
    <w:rsid w:val="4D8432EA"/>
    <w:rsid w:val="4DE71932"/>
    <w:rsid w:val="4E21448E"/>
    <w:rsid w:val="4FD07F1A"/>
    <w:rsid w:val="52187956"/>
    <w:rsid w:val="527E021F"/>
    <w:rsid w:val="52AA6800"/>
    <w:rsid w:val="5394602F"/>
    <w:rsid w:val="56A45C5C"/>
    <w:rsid w:val="5791205C"/>
    <w:rsid w:val="58927FE4"/>
    <w:rsid w:val="59D45BB2"/>
    <w:rsid w:val="5A9D30EE"/>
    <w:rsid w:val="5AD56344"/>
    <w:rsid w:val="5C5C1E25"/>
    <w:rsid w:val="5DA36C6E"/>
    <w:rsid w:val="5F3F4774"/>
    <w:rsid w:val="5FA16E9A"/>
    <w:rsid w:val="60B42F40"/>
    <w:rsid w:val="612E4AA0"/>
    <w:rsid w:val="619A0388"/>
    <w:rsid w:val="62B55D92"/>
    <w:rsid w:val="63E8362C"/>
    <w:rsid w:val="648F5D83"/>
    <w:rsid w:val="64CC6D0B"/>
    <w:rsid w:val="675A65EF"/>
    <w:rsid w:val="679B09B6"/>
    <w:rsid w:val="67D40C74"/>
    <w:rsid w:val="67F325A0"/>
    <w:rsid w:val="68896F96"/>
    <w:rsid w:val="6922313D"/>
    <w:rsid w:val="6940275A"/>
    <w:rsid w:val="695B664F"/>
    <w:rsid w:val="698C4A5A"/>
    <w:rsid w:val="6AAB7162"/>
    <w:rsid w:val="6CB247D7"/>
    <w:rsid w:val="6D837DAC"/>
    <w:rsid w:val="6E514E20"/>
    <w:rsid w:val="6E5B3C65"/>
    <w:rsid w:val="6EF53ED7"/>
    <w:rsid w:val="6FE078AE"/>
    <w:rsid w:val="70DA254F"/>
    <w:rsid w:val="71080E6A"/>
    <w:rsid w:val="710D230B"/>
    <w:rsid w:val="711C2B67"/>
    <w:rsid w:val="713954C7"/>
    <w:rsid w:val="71FB277D"/>
    <w:rsid w:val="7270316B"/>
    <w:rsid w:val="73482552"/>
    <w:rsid w:val="74281823"/>
    <w:rsid w:val="74493C73"/>
    <w:rsid w:val="74885E20"/>
    <w:rsid w:val="74B17A6A"/>
    <w:rsid w:val="74DB3817"/>
    <w:rsid w:val="750000AA"/>
    <w:rsid w:val="758004F9"/>
    <w:rsid w:val="75E43528"/>
    <w:rsid w:val="76261D92"/>
    <w:rsid w:val="76EE28B0"/>
    <w:rsid w:val="76EF55CB"/>
    <w:rsid w:val="7755292F"/>
    <w:rsid w:val="78000AED"/>
    <w:rsid w:val="78166BD0"/>
    <w:rsid w:val="7924080B"/>
    <w:rsid w:val="7A1B7CE2"/>
    <w:rsid w:val="7B7A0BB6"/>
    <w:rsid w:val="7BA905B0"/>
    <w:rsid w:val="7BC67C0C"/>
    <w:rsid w:val="7D6C09D3"/>
    <w:rsid w:val="7DAB14FB"/>
    <w:rsid w:val="7EEF5417"/>
    <w:rsid w:val="7FFFE3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99"/>
    <w:pPr>
      <w:ind w:firstLine="420" w:firstLineChars="200"/>
    </w:pPr>
  </w:style>
  <w:style w:type="paragraph" w:styleId="4">
    <w:name w:val="annotation text"/>
    <w:basedOn w:val="1"/>
    <w:qFormat/>
    <w:uiPriority w:val="0"/>
    <w:pPr>
      <w:jc w:val="left"/>
    </w:pPr>
  </w:style>
  <w:style w:type="paragraph" w:styleId="5">
    <w:name w:val="Body Text Indent"/>
    <w:basedOn w:val="1"/>
    <w:qFormat/>
    <w:uiPriority w:val="0"/>
    <w:pPr>
      <w:spacing w:after="120"/>
      <w:ind w:left="420" w:leftChars="200"/>
    </w:p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39"/>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0">
    <w:name w:val="Body Text First Indent 2"/>
    <w:basedOn w:val="5"/>
    <w:qFormat/>
    <w:uiPriority w:val="0"/>
    <w:pPr>
      <w:ind w:firstLine="420" w:firstLineChars="200"/>
    </w:p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2989</Words>
  <Characters>3089</Characters>
  <Lines>0</Lines>
  <Paragraphs>0</Paragraphs>
  <TotalTime>2</TotalTime>
  <ScaleCrop>false</ScaleCrop>
  <LinksUpToDate>false</LinksUpToDate>
  <CharactersWithSpaces>3102</CharactersWithSpaces>
  <Application>WPS Office_11.8.2.11763_F1E327BC-269C-435d-A152-05C5408002CA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2025-02-21T20:58:00Z</dcterms:created>
  <dc:creator>84145</dc:creator>
  <cp:lastModifiedBy>zhangyu</cp:lastModifiedBy>
  <cp:lastPrinted>2025-05-06T15:56:37Z</cp:lastPrinted>
  <dcterms:modified xsi:type="dcterms:W3CDTF">2025-05-06T15:59:37Z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2052-11.8.2.11763</vt:lpwstr>
  </property>
  <property fmtid="{D5CDD505-2E9C-101B-9397-08002B2CF9AE}" pid="3" name="KSOTemplateDocerSaveRecord">
    <vt:lpwstr>eyJoZGlkIjoiNDI1NGQ4MDY4NjMxYWVlMzc3ODM2NDE0MmU1ODUxYzYiLCJ1c2VySWQiOiIxNjg2MTc4NTY3In0=</vt:lpwstr>
  </property>
  <property fmtid="{D5CDD505-2E9C-101B-9397-08002B2CF9AE}" pid="4" name="ICV">
    <vt:lpwstr>E5BE694B4001F5FC8BB21968CC6ADDCB</vt:lpwstr>
  </property>
</Properties>
</file>